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Témazáró dolgozat: Nyelvek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Nyelvtípusok</w:t>
        <w:br/>
        <w:t>Agglutináló: ragozó, toldalékoló, ergó toldalékkokal változik a szó jelentése</w:t>
        <w:br/>
        <w:t>Flektáló: a szótő változik</w:t>
        <w:br/>
        <w:t>Izoláló: a szavak különálló jelentéssel bírnak, és az összetételükkel változik a mondanivaló jelentése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Magyar</w:t>
        <w:br/>
        <w:t>Főleg agglutináló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Tiszta</w:t>
        <w:br/>
        <w:t>Nem, mivel mindegyik nyelvben vannak mindhárom típusból vannak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Változás</w:t>
        <w:br/>
        <w:t>Mivel a világ mindig változik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Gondolat</w:t>
        <w:br/>
        <w:t>azt, hogy a gondolat formálja a nyelvet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Austin</w:t>
        <w:br/>
        <w:t>állítások, pl. a fű zöld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Nyelvi identitás</w:t>
        <w:br/>
        <w:t>lásd előző esszéimet, az identitás szerves része a nyelv is mivel azzal kommunikál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Kétnyelvűség</w:t>
        <w:br/>
        <w:t>mikor egy ember két nyelvet ért/beszél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Előkészítő szakasz</w:t>
        <w:br/>
        <w:t>a csecsemőkor, mikor csak passzív módon (ergo: hallgat, nem beszél) szerzi meg a nyelvi ismereteit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Születés</w:t>
        <w:br/>
        <w:t>igen, van bizonyíték hogy a kisded megérti a saját nevét mikor még meg nem született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iso-8859-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127</Words>
  <Characters>731</Characters>
  <CharactersWithSpaces>837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2025-12-08T09:01:39Z</dcterms:created>
  <dc:creator/>
  <dc:description/>
  <dc:language>en-US</dc:language>
  <cp:lastModifiedBy/>
  <dcterms:modified xsi:type="dcterms:W3CDTF">2025-12-08T09:14:18Z</dcterms:modified>
  <cp:revision>1</cp:revision>
  <dc:subject/>
  <dc:title/>
</cp:coreProperties>
</file>